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BD8C0" w14:textId="77777777" w:rsidR="002971F6" w:rsidRDefault="00452D35" w:rsidP="00A951EF">
      <w:pPr>
        <w:pStyle w:val="Szvegtrzs1"/>
        <w:tabs>
          <w:tab w:val="left" w:pos="343"/>
        </w:tabs>
        <w:spacing w:after="400"/>
        <w:jc w:val="center"/>
      </w:pPr>
      <w:bookmarkStart w:id="0" w:name="bookmark27"/>
      <w:bookmarkEnd w:id="0"/>
      <w:r>
        <w:t>AZ INTÉZMÉNY AZONOSÍTÓ ADATAI</w:t>
      </w:r>
    </w:p>
    <w:p w14:paraId="19A5ECCB" w14:textId="77777777" w:rsidR="00A951EF" w:rsidRDefault="00A951EF">
      <w:pPr>
        <w:pStyle w:val="Szvegtrzs1"/>
        <w:rPr>
          <w:b/>
          <w:bCs/>
        </w:rPr>
      </w:pPr>
    </w:p>
    <w:p w14:paraId="60877C30" w14:textId="77777777" w:rsidR="00094E76" w:rsidRDefault="00452D35">
      <w:pPr>
        <w:pStyle w:val="Szvegtrzs1"/>
      </w:pPr>
      <w:r>
        <w:rPr>
          <w:b/>
          <w:bCs/>
        </w:rPr>
        <w:t xml:space="preserve">Az intézmény neve: </w:t>
      </w:r>
      <w:r>
        <w:t>Kristály Szociális Intézmény Békés Vármegye</w:t>
      </w:r>
    </w:p>
    <w:p w14:paraId="1B5E7544" w14:textId="11C57E35" w:rsidR="00094E76" w:rsidRDefault="00452D35">
      <w:pPr>
        <w:pStyle w:val="Szvegtrzs1"/>
      </w:pPr>
      <w:r>
        <w:t xml:space="preserve"> </w:t>
      </w:r>
      <w:r>
        <w:rPr>
          <w:b/>
          <w:bCs/>
        </w:rPr>
        <w:t xml:space="preserve">Az intézmény székhelye: </w:t>
      </w:r>
      <w:r>
        <w:t xml:space="preserve">5516 Körösladány, Nagy Márton u. 2. </w:t>
      </w:r>
    </w:p>
    <w:p w14:paraId="49E727C6" w14:textId="38C5E7E8" w:rsidR="002971F6" w:rsidRDefault="00452D35">
      <w:pPr>
        <w:pStyle w:val="Szvegtrzs1"/>
      </w:pPr>
      <w:r>
        <w:rPr>
          <w:b/>
          <w:bCs/>
        </w:rPr>
        <w:t>Alapítás időpontjai</w:t>
      </w:r>
      <w:r w:rsidR="00094E76">
        <w:rPr>
          <w:b/>
          <w:bCs/>
        </w:rPr>
        <w:t xml:space="preserve">: </w:t>
      </w:r>
      <w:r w:rsidR="00094E76" w:rsidRPr="00094E76">
        <w:t>1</w:t>
      </w:r>
      <w:r w:rsidRPr="00094E76">
        <w:t>979</w:t>
      </w:r>
      <w:r>
        <w:t>. október 15.</w:t>
      </w:r>
    </w:p>
    <w:p w14:paraId="43EDB198" w14:textId="77777777" w:rsidR="002971F6" w:rsidRDefault="00452D35">
      <w:pPr>
        <w:pStyle w:val="Szvegtrzs1"/>
      </w:pPr>
      <w:r>
        <w:rPr>
          <w:b/>
          <w:bCs/>
        </w:rPr>
        <w:t xml:space="preserve">Alapító okirat kelte: </w:t>
      </w:r>
      <w:r>
        <w:t>2023. március 03.</w:t>
      </w:r>
    </w:p>
    <w:p w14:paraId="10C2E5D2" w14:textId="77777777" w:rsidR="002971F6" w:rsidRDefault="00452D35">
      <w:pPr>
        <w:pStyle w:val="Szvegtrzs1"/>
      </w:pPr>
      <w:r>
        <w:rPr>
          <w:b/>
          <w:bCs/>
        </w:rPr>
        <w:t xml:space="preserve">Alapító okirat száma: </w:t>
      </w:r>
      <w:r>
        <w:t>A-305-1/2023.</w:t>
      </w:r>
    </w:p>
    <w:p w14:paraId="1FF75559" w14:textId="77777777" w:rsidR="002971F6" w:rsidRDefault="00452D35">
      <w:pPr>
        <w:pStyle w:val="Szvegtrzs1"/>
      </w:pPr>
      <w:r>
        <w:rPr>
          <w:b/>
          <w:bCs/>
        </w:rPr>
        <w:t>A költségvetési szerv közfeladata:</w:t>
      </w:r>
    </w:p>
    <w:p w14:paraId="6E9209AD" w14:textId="77777777" w:rsidR="002971F6" w:rsidRDefault="00452D35">
      <w:pPr>
        <w:pStyle w:val="Szvegtrzs1"/>
      </w:pPr>
      <w:r>
        <w:t>A szociális igazgatásról és szociális ellátásról szóló 1993. évi III. törvény 85/A § szerinti személyes gondoskodás keretébe tartozó szakosított szociális ellátás biztosítása.</w:t>
      </w:r>
    </w:p>
    <w:p w14:paraId="738A2396" w14:textId="77777777" w:rsidR="002971F6" w:rsidRDefault="00452D35">
      <w:pPr>
        <w:pStyle w:val="Szvegtrzs1"/>
      </w:pPr>
      <w:r>
        <w:t>Alaptevékenysége:</w:t>
      </w:r>
    </w:p>
    <w:p w14:paraId="15842782" w14:textId="77777777" w:rsidR="002971F6" w:rsidRDefault="00452D35">
      <w:pPr>
        <w:pStyle w:val="Szvegtrzs1"/>
        <w:spacing w:after="200"/>
      </w:pPr>
      <w:r>
        <w:t xml:space="preserve">A bentlakásos intézményben az önmaguk ellátására nem, vagy csak folyamatos segítséggel képes krónikus pszichiátriai és szenvedélybeteg személyek ápolása, gondozása, szakápolása, napi </w:t>
      </w:r>
      <w:proofErr w:type="spellStart"/>
      <w:r>
        <w:t>ötszöri</w:t>
      </w:r>
      <w:proofErr w:type="spellEnd"/>
      <w:r>
        <w:t xml:space="preserve"> étkeztetése, szükség szerint ruházattal, textíliával történő ellátása, mentális gondozása, egészségügyi ellátása. Feladatait a szociális igazgatásról és a szociális ellátásokról szóló 1993. évi III. törvény, az 1/2000. (1.7.) SZCSM rendelet és a 9/1999. (XI. 24.) SZCSM rendelet és végrehajtási utasításai, a vonatkozó jogszabályok a bentlakásos intézményben alapján látja el.</w:t>
      </w:r>
    </w:p>
    <w:p w14:paraId="09EC5D01" w14:textId="77777777" w:rsidR="002971F6" w:rsidRDefault="00452D35" w:rsidP="00A951EF">
      <w:pPr>
        <w:pStyle w:val="Szvegtrzs1"/>
        <w:tabs>
          <w:tab w:val="left" w:pos="405"/>
        </w:tabs>
        <w:spacing w:after="400"/>
        <w:jc w:val="center"/>
      </w:pPr>
      <w:bookmarkStart w:id="1" w:name="bookmark28"/>
      <w:bookmarkEnd w:id="1"/>
      <w:r>
        <w:t>AZ ALAPTEVÉKENYSÉGET MEGHATÁROZÓ JOGSZABÁLYOK</w:t>
      </w:r>
    </w:p>
    <w:p w14:paraId="4BB89A5F" w14:textId="77777777" w:rsidR="002971F6" w:rsidRDefault="00452D35">
      <w:pPr>
        <w:pStyle w:val="Szvegtrzs1"/>
        <w:numPr>
          <w:ilvl w:val="0"/>
          <w:numId w:val="5"/>
        </w:numPr>
        <w:tabs>
          <w:tab w:val="left" w:pos="405"/>
        </w:tabs>
        <w:ind w:left="400" w:hanging="400"/>
        <w:jc w:val="both"/>
      </w:pPr>
      <w:bookmarkStart w:id="2" w:name="bookmark29"/>
      <w:bookmarkEnd w:id="2"/>
      <w:r>
        <w:t>A szociális igazgatásról és szociális ellátásokról szóló 1993. évi III. törvény (a továbbiakban: Szt.)</w:t>
      </w:r>
    </w:p>
    <w:p w14:paraId="04071265" w14:textId="77777777" w:rsidR="002971F6" w:rsidRDefault="00452D35">
      <w:pPr>
        <w:pStyle w:val="Szvegtrzs1"/>
        <w:numPr>
          <w:ilvl w:val="0"/>
          <w:numId w:val="5"/>
        </w:numPr>
        <w:tabs>
          <w:tab w:val="left" w:pos="405"/>
        </w:tabs>
        <w:ind w:left="400" w:hanging="400"/>
        <w:jc w:val="both"/>
      </w:pPr>
      <w:bookmarkStart w:id="3" w:name="bookmark30"/>
      <w:bookmarkEnd w:id="3"/>
      <w:r>
        <w:t>A szociális foglalkoztatás engedélyezéséről és a szociális foglalkoztatási támogatásról szólói 12/2006. (V. 12.) Korm. rendelet</w:t>
      </w:r>
    </w:p>
    <w:p w14:paraId="1E59650A" w14:textId="77777777" w:rsidR="002971F6" w:rsidRDefault="00452D35">
      <w:pPr>
        <w:pStyle w:val="Szvegtrzs1"/>
        <w:numPr>
          <w:ilvl w:val="0"/>
          <w:numId w:val="5"/>
        </w:numPr>
        <w:tabs>
          <w:tab w:val="left" w:pos="405"/>
        </w:tabs>
        <w:ind w:left="400" w:hanging="400"/>
        <w:jc w:val="both"/>
      </w:pPr>
      <w:bookmarkStart w:id="4" w:name="bookmark31"/>
      <w:bookmarkEnd w:id="4"/>
      <w:r>
        <w:t>A személyes gondoskodás igénybevételével kapcsolatos eljárásokban közreműködő szakértőkre, szakértői szervekre vonatkozó részletes szabályokról szóló 340/2007. (XII. 15.) Korm. rendelet</w:t>
      </w:r>
    </w:p>
    <w:p w14:paraId="6685FAE2" w14:textId="77777777" w:rsidR="002971F6" w:rsidRDefault="00452D35">
      <w:pPr>
        <w:pStyle w:val="Szvegtrzs1"/>
        <w:numPr>
          <w:ilvl w:val="0"/>
          <w:numId w:val="5"/>
        </w:numPr>
        <w:tabs>
          <w:tab w:val="left" w:pos="405"/>
        </w:tabs>
        <w:ind w:left="400" w:hanging="400"/>
        <w:jc w:val="both"/>
      </w:pPr>
      <w:bookmarkStart w:id="5" w:name="bookmark32"/>
      <w:bookmarkEnd w:id="5"/>
      <w:r>
        <w:t>A szociális, gyermekjóléti és gyermekvédelmi szolgáltatók, intézmények ágazati azonosítójáról és országos nyilvántartásáról szóló 226/2006. (XI. 20.) Korm. rendelet</w:t>
      </w:r>
    </w:p>
    <w:p w14:paraId="3CF6B087" w14:textId="77777777" w:rsidR="002971F6" w:rsidRDefault="00452D35">
      <w:pPr>
        <w:pStyle w:val="Szvegtrzs1"/>
        <w:numPr>
          <w:ilvl w:val="0"/>
          <w:numId w:val="5"/>
        </w:numPr>
        <w:tabs>
          <w:tab w:val="left" w:pos="405"/>
        </w:tabs>
        <w:ind w:left="400" w:hanging="400"/>
        <w:jc w:val="both"/>
      </w:pPr>
      <w:bookmarkStart w:id="6" w:name="bookmark33"/>
      <w:bookmarkEnd w:id="6"/>
      <w:r>
        <w:t>A személyes gondoskodást nyújtó szociális ellátások térítési díjáról szóló 29/1993. (II. 17.) Korm. rendelet</w:t>
      </w:r>
    </w:p>
    <w:p w14:paraId="5EDF119E" w14:textId="77777777" w:rsidR="002971F6" w:rsidRDefault="00452D35">
      <w:pPr>
        <w:pStyle w:val="Szvegtrzs1"/>
        <w:numPr>
          <w:ilvl w:val="0"/>
          <w:numId w:val="5"/>
        </w:numPr>
        <w:tabs>
          <w:tab w:val="left" w:pos="405"/>
        </w:tabs>
        <w:ind w:left="400" w:hanging="400"/>
        <w:jc w:val="both"/>
      </w:pPr>
      <w:bookmarkStart w:id="7" w:name="bookmark34"/>
      <w:bookmarkEnd w:id="7"/>
      <w:r>
        <w:t>A gondozási szükséglet, valamint az egészségi állapoton alapuló szociális rászorultság vizsgálatának és igazolásának részletes szabályairól szóló 36/2007. (XII. 22.) SZMM rendelet</w:t>
      </w:r>
    </w:p>
    <w:p w14:paraId="2EB3CDCA" w14:textId="77777777" w:rsidR="002971F6" w:rsidRDefault="00452D35">
      <w:pPr>
        <w:pStyle w:val="Szvegtrzs1"/>
        <w:numPr>
          <w:ilvl w:val="0"/>
          <w:numId w:val="5"/>
        </w:numPr>
        <w:tabs>
          <w:tab w:val="left" w:pos="405"/>
        </w:tabs>
        <w:ind w:left="400" w:hanging="400"/>
        <w:jc w:val="both"/>
      </w:pPr>
      <w:bookmarkStart w:id="8" w:name="bookmark35"/>
      <w:bookmarkEnd w:id="8"/>
      <w:r>
        <w:t xml:space="preserve">A szociális intézményen belüli foglalkoztatás szakmai követelményeiről, személyi és tárgyi feltételeiről és a személyes gondoskodást nyújtó szociális intézmények szakmai feladatairól és </w:t>
      </w:r>
      <w:r>
        <w:lastRenderedPageBreak/>
        <w:t xml:space="preserve">működési feltételeiről szóló 1/2000. (I. 7.) </w:t>
      </w:r>
      <w:proofErr w:type="spellStart"/>
      <w:r>
        <w:t>SzCsM</w:t>
      </w:r>
      <w:proofErr w:type="spellEnd"/>
      <w:r>
        <w:t xml:space="preserve"> rendelet módosításáról szóló 3/2006. (V. 17.) </w:t>
      </w:r>
      <w:proofErr w:type="spellStart"/>
      <w:r>
        <w:t>ICsSzEM</w:t>
      </w:r>
      <w:proofErr w:type="spellEnd"/>
      <w:r>
        <w:t xml:space="preserve"> rendelet</w:t>
      </w:r>
    </w:p>
    <w:p w14:paraId="42EA8DBB" w14:textId="77777777" w:rsidR="002971F6" w:rsidRDefault="00452D35">
      <w:pPr>
        <w:pStyle w:val="Szvegtrzs1"/>
        <w:numPr>
          <w:ilvl w:val="0"/>
          <w:numId w:val="5"/>
        </w:numPr>
        <w:tabs>
          <w:tab w:val="left" w:pos="405"/>
        </w:tabs>
        <w:ind w:left="400" w:hanging="400"/>
        <w:jc w:val="both"/>
      </w:pPr>
      <w:bookmarkStart w:id="9" w:name="bookmark36"/>
      <w:bookmarkEnd w:id="9"/>
      <w:r>
        <w:t xml:space="preserve">A személyes gondoskodást nyújtó szociális intézmények szakmai feladatairól és működésük feltételeiről szóló 1/2000. (I. 7.) </w:t>
      </w:r>
      <w:proofErr w:type="spellStart"/>
      <w:r>
        <w:t>SzCsM</w:t>
      </w:r>
      <w:proofErr w:type="spellEnd"/>
      <w:r>
        <w:t xml:space="preserve"> rendelet (a továbbiakban: </w:t>
      </w:r>
      <w:proofErr w:type="spellStart"/>
      <w:r>
        <w:t>SzCsM</w:t>
      </w:r>
      <w:proofErr w:type="spellEnd"/>
      <w:r>
        <w:t xml:space="preserve"> rendelet)</w:t>
      </w:r>
    </w:p>
    <w:p w14:paraId="3B4C267C" w14:textId="77777777" w:rsidR="002971F6" w:rsidRDefault="00452D35">
      <w:pPr>
        <w:pStyle w:val="Szvegtrzs1"/>
        <w:numPr>
          <w:ilvl w:val="0"/>
          <w:numId w:val="5"/>
        </w:numPr>
        <w:tabs>
          <w:tab w:val="left" w:pos="405"/>
        </w:tabs>
        <w:ind w:left="400" w:hanging="400"/>
        <w:jc w:val="both"/>
      </w:pPr>
      <w:bookmarkStart w:id="10" w:name="bookmark37"/>
      <w:bookmarkEnd w:id="10"/>
      <w:r>
        <w:t xml:space="preserve">A személyes gondoskodást nyújtó szociális ellátások igénybevételéről szóló 9/1999. (XI. 24.) </w:t>
      </w:r>
      <w:proofErr w:type="spellStart"/>
      <w:r>
        <w:t>SzCsM</w:t>
      </w:r>
      <w:proofErr w:type="spellEnd"/>
      <w:r>
        <w:t xml:space="preserve"> rendelet</w:t>
      </w:r>
    </w:p>
    <w:p w14:paraId="736D3DEF" w14:textId="77777777" w:rsidR="002971F6" w:rsidRDefault="00452D35">
      <w:pPr>
        <w:pStyle w:val="Szvegtrzs1"/>
        <w:numPr>
          <w:ilvl w:val="0"/>
          <w:numId w:val="5"/>
        </w:numPr>
        <w:tabs>
          <w:tab w:val="left" w:pos="414"/>
        </w:tabs>
        <w:ind w:left="400" w:hanging="400"/>
        <w:jc w:val="both"/>
      </w:pPr>
      <w:bookmarkStart w:id="11" w:name="bookmark38"/>
      <w:bookmarkEnd w:id="11"/>
      <w:r>
        <w:t>Az egyenlő bánásmódról és az esélyegyenlőség előmozdításáról szóló 2003. évi CXXV. törvény</w:t>
      </w:r>
    </w:p>
    <w:p w14:paraId="40EDE054" w14:textId="77777777" w:rsidR="002971F6" w:rsidRDefault="00452D35">
      <w:pPr>
        <w:pStyle w:val="Szvegtrzs1"/>
        <w:numPr>
          <w:ilvl w:val="0"/>
          <w:numId w:val="5"/>
        </w:numPr>
        <w:tabs>
          <w:tab w:val="left" w:pos="414"/>
        </w:tabs>
        <w:jc w:val="both"/>
      </w:pPr>
      <w:bookmarkStart w:id="12" w:name="bookmark39"/>
      <w:bookmarkEnd w:id="12"/>
      <w:r>
        <w:t>A közérdekű önkéntes tevékenységről szóló 2005. évi LXXXVIII. törvény</w:t>
      </w:r>
    </w:p>
    <w:p w14:paraId="00C3BC94" w14:textId="77777777" w:rsidR="002971F6" w:rsidRDefault="00452D35">
      <w:pPr>
        <w:pStyle w:val="Szvegtrzs1"/>
        <w:numPr>
          <w:ilvl w:val="0"/>
          <w:numId w:val="5"/>
        </w:numPr>
        <w:tabs>
          <w:tab w:val="left" w:pos="414"/>
        </w:tabs>
        <w:ind w:left="400" w:hanging="400"/>
        <w:jc w:val="both"/>
      </w:pPr>
      <w:bookmarkStart w:id="13" w:name="bookmark40"/>
      <w:bookmarkEnd w:id="13"/>
      <w:r>
        <w:t>A közalkalmazottak jogállásáról szóló 1992. évi XXXIII. törvénynek a szociális, valamint a gyermekjóléti és gyermekvédelmi ágazatban történő végrehajtásáról szóló 257/2000. (XII. 26.) Korm. rendelet</w:t>
      </w:r>
    </w:p>
    <w:p w14:paraId="702626DF" w14:textId="77777777" w:rsidR="002971F6" w:rsidRDefault="00452D35">
      <w:pPr>
        <w:pStyle w:val="Szvegtrzs1"/>
        <w:numPr>
          <w:ilvl w:val="0"/>
          <w:numId w:val="5"/>
        </w:numPr>
        <w:tabs>
          <w:tab w:val="left" w:pos="414"/>
        </w:tabs>
        <w:jc w:val="both"/>
      </w:pPr>
      <w:bookmarkStart w:id="14" w:name="bookmark41"/>
      <w:bookmarkEnd w:id="14"/>
      <w:r>
        <w:t>A számvitelről szóló 2000. évi C. törvény</w:t>
      </w:r>
    </w:p>
    <w:p w14:paraId="02AE2031" w14:textId="77777777" w:rsidR="002971F6" w:rsidRDefault="00452D35">
      <w:pPr>
        <w:pStyle w:val="Szvegtrzs1"/>
        <w:numPr>
          <w:ilvl w:val="0"/>
          <w:numId w:val="5"/>
        </w:numPr>
        <w:tabs>
          <w:tab w:val="left" w:pos="414"/>
        </w:tabs>
        <w:jc w:val="both"/>
      </w:pPr>
      <w:bookmarkStart w:id="15" w:name="bookmark42"/>
      <w:bookmarkEnd w:id="15"/>
      <w:r>
        <w:t>A Munka törvénykönyvéről szóló 2012. évi I. törvény</w:t>
      </w:r>
    </w:p>
    <w:p w14:paraId="6D15BB75" w14:textId="77777777" w:rsidR="002971F6" w:rsidRDefault="00452D35">
      <w:pPr>
        <w:pStyle w:val="Szvegtrzs1"/>
        <w:numPr>
          <w:ilvl w:val="0"/>
          <w:numId w:val="5"/>
        </w:numPr>
        <w:tabs>
          <w:tab w:val="left" w:pos="414"/>
        </w:tabs>
        <w:jc w:val="both"/>
      </w:pPr>
      <w:bookmarkStart w:id="16" w:name="bookmark43"/>
      <w:bookmarkEnd w:id="16"/>
      <w:r>
        <w:t>A közalkalmazottak jogállásáról szóló 1992. évi XXXIII. törvény</w:t>
      </w:r>
    </w:p>
    <w:p w14:paraId="75C57888" w14:textId="77777777" w:rsidR="002971F6" w:rsidRDefault="00452D35">
      <w:pPr>
        <w:pStyle w:val="Szvegtrzs1"/>
        <w:numPr>
          <w:ilvl w:val="0"/>
          <w:numId w:val="5"/>
        </w:numPr>
        <w:tabs>
          <w:tab w:val="left" w:pos="435"/>
        </w:tabs>
        <w:spacing w:after="400"/>
        <w:ind w:left="480" w:hanging="480"/>
        <w:jc w:val="both"/>
      </w:pPr>
      <w:bookmarkStart w:id="17" w:name="bookmark44"/>
      <w:bookmarkEnd w:id="17"/>
      <w:r>
        <w:t>A munkaköri, szakmai, illetve személyi higiénés alkalmasság orvosi vizsgálatáról és véleményezéséről szóló 33/1998. (VI.24.) NM. rendelet</w:t>
      </w:r>
    </w:p>
    <w:p w14:paraId="33ADE215" w14:textId="77777777" w:rsidR="002971F6" w:rsidRDefault="00452D35" w:rsidP="0043635E">
      <w:pPr>
        <w:pStyle w:val="Szvegtrzs1"/>
        <w:tabs>
          <w:tab w:val="left" w:pos="746"/>
        </w:tabs>
        <w:spacing w:after="400"/>
        <w:ind w:left="340"/>
        <w:jc w:val="center"/>
      </w:pPr>
      <w:bookmarkStart w:id="18" w:name="bookmark45"/>
      <w:bookmarkEnd w:id="18"/>
      <w:r>
        <w:t>ALAPTEVÉKENYSÉG KORMÁNYZATI FUNKCIÓK SZERINTI BESOROLÁSA</w:t>
      </w:r>
    </w:p>
    <w:p w14:paraId="30C71007" w14:textId="77777777" w:rsidR="002971F6" w:rsidRDefault="00452D35">
      <w:pPr>
        <w:pStyle w:val="Szvegtrzs1"/>
        <w:jc w:val="both"/>
      </w:pPr>
      <w:r>
        <w:t>101121 Pszichiátriai betegek tartós bentlakásos ellátása</w:t>
      </w:r>
    </w:p>
    <w:p w14:paraId="5FBEB28F" w14:textId="77777777" w:rsidR="002971F6" w:rsidRDefault="00452D35">
      <w:pPr>
        <w:pStyle w:val="Szvegtrzs1"/>
        <w:jc w:val="both"/>
      </w:pPr>
      <w:r>
        <w:t>107030 Szociális foglalkoztatás, fejlesztő foglalkoztatás</w:t>
      </w:r>
    </w:p>
    <w:p w14:paraId="31D505DF" w14:textId="77777777" w:rsidR="002971F6" w:rsidRDefault="00452D35">
      <w:pPr>
        <w:pStyle w:val="Szvegtrzs1"/>
        <w:spacing w:after="400"/>
        <w:jc w:val="both"/>
      </w:pPr>
      <w:r>
        <w:t>7305 (szakmakód) Szakápolás</w:t>
      </w:r>
    </w:p>
    <w:sectPr w:rsidR="002971F6" w:rsidSect="00A951EF">
      <w:headerReference w:type="default" r:id="rId7"/>
      <w:footerReference w:type="default" r:id="rId8"/>
      <w:pgSz w:w="11900" w:h="16840"/>
      <w:pgMar w:top="1365" w:right="1144" w:bottom="1224" w:left="11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CB44D" w14:textId="77777777" w:rsidR="00471CCE" w:rsidRDefault="00471CCE">
      <w:r>
        <w:separator/>
      </w:r>
    </w:p>
  </w:endnote>
  <w:endnote w:type="continuationSeparator" w:id="0">
    <w:p w14:paraId="2C299B2D" w14:textId="77777777" w:rsidR="00471CCE" w:rsidRDefault="00471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2C078" w14:textId="77777777" w:rsidR="002971F6" w:rsidRDefault="002971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006D4" w14:textId="77777777" w:rsidR="00471CCE" w:rsidRDefault="00471CCE"/>
  </w:footnote>
  <w:footnote w:type="continuationSeparator" w:id="0">
    <w:p w14:paraId="1FF294C2" w14:textId="77777777" w:rsidR="00471CCE" w:rsidRDefault="00471C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DF662" w14:textId="77777777" w:rsidR="002971F6" w:rsidRDefault="00452D3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5" behindDoc="1" locked="0" layoutInCell="1" allowOverlap="1" wp14:anchorId="195FC2E8" wp14:editId="09C4EC37">
              <wp:simplePos x="0" y="0"/>
              <wp:positionH relativeFrom="page">
                <wp:posOffset>899160</wp:posOffset>
              </wp:positionH>
              <wp:positionV relativeFrom="page">
                <wp:posOffset>1350645</wp:posOffset>
              </wp:positionV>
              <wp:extent cx="5334000" cy="15240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4000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7A1265" w14:textId="6B12129E" w:rsidR="002971F6" w:rsidRDefault="002971F6">
                          <w:pPr>
                            <w:pStyle w:val="Fejlcvagylblc20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FC2E8" id="_x0000_t202" coordsize="21600,21600" o:spt="202" path="m,l,21600r21600,l21600,xe">
              <v:stroke joinstyle="miter"/>
              <v:path gradientshapeok="t" o:connecttype="rect"/>
            </v:shapetype>
            <v:shape id="Shape 10" o:spid="_x0000_s1026" type="#_x0000_t202" style="position:absolute;margin-left:70.8pt;margin-top:106.35pt;width:420pt;height:12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" filled="f" stroked="f">
              <v:textbox style="mso-fit-shape-to-text:t" inset="0,0,0,0">
                <w:txbxContent>
                  <w:p w14:paraId="3E7A1265" w14:textId="6B12129E" w:rsidR="002971F6" w:rsidRDefault="002971F6">
                    <w:pPr>
                      <w:pStyle w:val="Fejlcvagylblc2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039B"/>
    <w:multiLevelType w:val="multilevel"/>
    <w:tmpl w:val="EFF0902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9E4199"/>
    <w:multiLevelType w:val="multilevel"/>
    <w:tmpl w:val="B70CE302"/>
    <w:lvl w:ilvl="0">
      <w:start w:val="30"/>
      <w:numFmt w:val="decimal"/>
      <w:lvlText w:val="7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E00A99"/>
    <w:multiLevelType w:val="multilevel"/>
    <w:tmpl w:val="6870FAD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BF6A2B"/>
    <w:multiLevelType w:val="multilevel"/>
    <w:tmpl w:val="67FEDDAE"/>
    <w:lvl w:ilvl="0">
      <w:start w:val="30"/>
      <w:numFmt w:val="decimal"/>
      <w:lvlText w:val="7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CA006A"/>
    <w:multiLevelType w:val="multilevel"/>
    <w:tmpl w:val="21A2C72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E338BB"/>
    <w:multiLevelType w:val="multilevel"/>
    <w:tmpl w:val="4F2CDBF8"/>
    <w:lvl w:ilvl="0">
      <w:start w:val="10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D04681E"/>
    <w:multiLevelType w:val="multilevel"/>
    <w:tmpl w:val="38E296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136E04"/>
    <w:multiLevelType w:val="multilevel"/>
    <w:tmpl w:val="D368E5C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6B2C74"/>
    <w:multiLevelType w:val="multilevel"/>
    <w:tmpl w:val="36E4142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1362EC"/>
    <w:multiLevelType w:val="multilevel"/>
    <w:tmpl w:val="6EA4F2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3F83D3A"/>
    <w:multiLevelType w:val="multilevel"/>
    <w:tmpl w:val="4EF6B396"/>
    <w:lvl w:ilvl="0">
      <w:start w:val="1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9"/>
  </w:num>
  <w:num w:numId="6">
    <w:abstractNumId w:val="0"/>
  </w:num>
  <w:num w:numId="7">
    <w:abstractNumId w:val="8"/>
  </w:num>
  <w:num w:numId="8">
    <w:abstractNumId w:val="2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1F6"/>
    <w:rsid w:val="00094E76"/>
    <w:rsid w:val="002971F6"/>
    <w:rsid w:val="0043635E"/>
    <w:rsid w:val="00452D35"/>
    <w:rsid w:val="00471CCE"/>
    <w:rsid w:val="00A9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89D4A"/>
  <w15:docId w15:val="{EC12710B-D170-4FA4-85C1-85A14BC5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3">
    <w:name w:val="Szövegtörzs (3)_"/>
    <w:basedOn w:val="Bekezdsalapbettpusa"/>
    <w:link w:val="Szvegtrz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Szvegtrzs2">
    <w:name w:val="Szövegtörzs (2)_"/>
    <w:basedOn w:val="Bekezdsalapbettpusa"/>
    <w:link w:val="Szvegtrz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6"/>
      <w:szCs w:val="46"/>
      <w:u w:val="none"/>
      <w:shd w:val="clear" w:color="auto" w:fill="auto"/>
    </w:rPr>
  </w:style>
  <w:style w:type="character" w:customStyle="1" w:styleId="Cmsor3">
    <w:name w:val="Címsor #3_"/>
    <w:basedOn w:val="Bekezdsalapbettpusa"/>
    <w:link w:val="Cmsor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msor1">
    <w:name w:val="Címsor #1_"/>
    <w:basedOn w:val="Bekezdsalapbettpusa"/>
    <w:link w:val="Cmsor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auto"/>
    </w:rPr>
  </w:style>
  <w:style w:type="character" w:customStyle="1" w:styleId="Fejlcvagylblc2">
    <w:name w:val="Fejléc vagy lábléc (2)_"/>
    <w:basedOn w:val="Bekezdsalapbettpusa"/>
    <w:link w:val="Fejlcvagylbl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artalomjegyzk">
    <w:name w:val="Tartalomjegyzék_"/>
    <w:basedOn w:val="Bekezdsalapbettpusa"/>
    <w:link w:val="Tartalomjegyzk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msor4">
    <w:name w:val="Címsor #4_"/>
    <w:basedOn w:val="Bekezdsalapbettpusa"/>
    <w:link w:val="Cmsor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  <w:shd w:val="clear" w:color="auto" w:fill="auto"/>
    </w:rPr>
  </w:style>
  <w:style w:type="character" w:customStyle="1" w:styleId="Cmsor2">
    <w:name w:val="Címsor #2_"/>
    <w:basedOn w:val="Bekezdsalapbettpusa"/>
    <w:link w:val="Cmsor2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30"/>
      <w:szCs w:val="30"/>
      <w:u w:val="none"/>
      <w:shd w:val="clear" w:color="auto" w:fill="auto"/>
    </w:rPr>
  </w:style>
  <w:style w:type="character" w:customStyle="1" w:styleId="Egyb">
    <w:name w:val="Egyéb_"/>
    <w:basedOn w:val="Bekezdsalapbettpusa"/>
    <w:link w:val="Egy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Kpalrs">
    <w:name w:val="Képaláírás_"/>
    <w:basedOn w:val="Bekezdsalapbettpusa"/>
    <w:link w:val="Kpalr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Szvegtrzs30">
    <w:name w:val="Szövegtörzs (3)"/>
    <w:basedOn w:val="Norml"/>
    <w:link w:val="Szvegtrzs3"/>
    <w:pPr>
      <w:spacing w:after="490"/>
      <w:ind w:left="407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zvegtrzs1">
    <w:name w:val="Szövegtörzs1"/>
    <w:basedOn w:val="Norml"/>
    <w:link w:val="Szvegtrzs"/>
    <w:pPr>
      <w:spacing w:line="360" w:lineRule="auto"/>
    </w:pPr>
    <w:rPr>
      <w:rFonts w:ascii="Times New Roman" w:eastAsia="Times New Roman" w:hAnsi="Times New Roman" w:cs="Times New Roman"/>
    </w:rPr>
  </w:style>
  <w:style w:type="paragraph" w:customStyle="1" w:styleId="Szvegtrzs20">
    <w:name w:val="Szövegtörzs (2)"/>
    <w:basedOn w:val="Norml"/>
    <w:link w:val="Szvegtrzs2"/>
    <w:pPr>
      <w:spacing w:after="5400" w:line="276" w:lineRule="auto"/>
      <w:jc w:val="center"/>
    </w:pPr>
    <w:rPr>
      <w:rFonts w:ascii="Times New Roman" w:eastAsia="Times New Roman" w:hAnsi="Times New Roman" w:cs="Times New Roman"/>
      <w:sz w:val="46"/>
      <w:szCs w:val="46"/>
    </w:rPr>
  </w:style>
  <w:style w:type="paragraph" w:customStyle="1" w:styleId="Cmsor30">
    <w:name w:val="Címsor #3"/>
    <w:basedOn w:val="Norml"/>
    <w:link w:val="Cmsor3"/>
    <w:pPr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msor10">
    <w:name w:val="Címsor #1"/>
    <w:basedOn w:val="Norml"/>
    <w:link w:val="Cmsor1"/>
    <w:pPr>
      <w:spacing w:after="240"/>
      <w:outlineLvl w:val="0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Fejlcvagylblc20">
    <w:name w:val="Fejléc vagy lábléc (2)"/>
    <w:basedOn w:val="Norml"/>
    <w:link w:val="Fejlcvagylblc2"/>
    <w:rPr>
      <w:rFonts w:ascii="Times New Roman" w:eastAsia="Times New Roman" w:hAnsi="Times New Roman" w:cs="Times New Roman"/>
      <w:sz w:val="20"/>
      <w:szCs w:val="20"/>
    </w:rPr>
  </w:style>
  <w:style w:type="paragraph" w:customStyle="1" w:styleId="Tartalomjegyzk0">
    <w:name w:val="Tartalomjegyzék"/>
    <w:basedOn w:val="Norml"/>
    <w:link w:val="Tartalomjegyzk"/>
    <w:pPr>
      <w:spacing w:after="2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msor40">
    <w:name w:val="Címsor #4"/>
    <w:basedOn w:val="Norml"/>
    <w:link w:val="Cmsor4"/>
    <w:pPr>
      <w:spacing w:line="360" w:lineRule="auto"/>
      <w:outlineLvl w:val="3"/>
    </w:pPr>
    <w:rPr>
      <w:rFonts w:ascii="Times New Roman" w:eastAsia="Times New Roman" w:hAnsi="Times New Roman" w:cs="Times New Roman"/>
      <w:b/>
      <w:bCs/>
      <w:u w:val="single"/>
    </w:rPr>
  </w:style>
  <w:style w:type="paragraph" w:customStyle="1" w:styleId="Cmsor20">
    <w:name w:val="Címsor #2"/>
    <w:basedOn w:val="Norml"/>
    <w:link w:val="Cmsor2"/>
    <w:pPr>
      <w:spacing w:after="400" w:line="360" w:lineRule="auto"/>
      <w:jc w:val="center"/>
      <w:outlineLvl w:val="1"/>
    </w:pPr>
    <w:rPr>
      <w:rFonts w:ascii="Times New Roman" w:eastAsia="Times New Roman" w:hAnsi="Times New Roman" w:cs="Times New Roman"/>
      <w:smallCaps/>
      <w:sz w:val="30"/>
      <w:szCs w:val="30"/>
    </w:rPr>
  </w:style>
  <w:style w:type="paragraph" w:customStyle="1" w:styleId="Egyb0">
    <w:name w:val="Egyéb"/>
    <w:basedOn w:val="Norml"/>
    <w:link w:val="Egyb"/>
    <w:pPr>
      <w:spacing w:line="360" w:lineRule="auto"/>
    </w:pPr>
    <w:rPr>
      <w:rFonts w:ascii="Times New Roman" w:eastAsia="Times New Roman" w:hAnsi="Times New Roman" w:cs="Times New Roman"/>
    </w:rPr>
  </w:style>
  <w:style w:type="paragraph" w:customStyle="1" w:styleId="Kpalrs1">
    <w:name w:val="Képaláírás1"/>
    <w:basedOn w:val="Norml"/>
    <w:link w:val="Kpalrs"/>
    <w:rPr>
      <w:rFonts w:ascii="Times New Roman" w:eastAsia="Times New Roman" w:hAnsi="Times New Roman" w:cs="Times New Roman"/>
    </w:rPr>
  </w:style>
  <w:style w:type="paragraph" w:styleId="lfej">
    <w:name w:val="header"/>
    <w:basedOn w:val="Norml"/>
    <w:link w:val="lfejChar"/>
    <w:uiPriority w:val="99"/>
    <w:unhideWhenUsed/>
    <w:rsid w:val="00A951E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951EF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A951E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951E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433</Words>
  <Characters>2988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Morvai Miklós</dc:creator>
  <cp:lastModifiedBy>Morvai Miklós</cp:lastModifiedBy>
  <cp:revision>4</cp:revision>
  <dcterms:created xsi:type="dcterms:W3CDTF">2024-02-22T08:01:00Z</dcterms:created>
  <dcterms:modified xsi:type="dcterms:W3CDTF">2024-02-22T08:07:00Z</dcterms:modified>
</cp:coreProperties>
</file>